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7A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2855CB65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7E6898FC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DC1FDB3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9ACE494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8C9E965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450B832F" w14:textId="66B1FFED" w:rsidR="00D01BCC" w:rsidRDefault="00D01BCC" w:rsidP="00D01B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 (III)</w:t>
      </w:r>
    </w:p>
    <w:p w14:paraId="1482C288" w14:textId="77777777" w:rsidR="00022E64" w:rsidRDefault="00022E64" w:rsidP="00D01BCC">
      <w:pPr>
        <w:jc w:val="center"/>
        <w:rPr>
          <w:rFonts w:ascii="Arial" w:hAnsi="Arial" w:cs="Arial"/>
          <w:sz w:val="24"/>
          <w:szCs w:val="24"/>
        </w:rPr>
      </w:pPr>
    </w:p>
    <w:p w14:paraId="12F3432B" w14:textId="77777777" w:rsidR="00506056" w:rsidRDefault="00545802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Matéria:</w:t>
      </w:r>
    </w:p>
    <w:p w14:paraId="3FB47459" w14:textId="36612102" w:rsidR="00506056" w:rsidRDefault="00506056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F0D61D" w14:textId="77777777" w:rsidR="00D71CAC" w:rsidRDefault="00D71CAC" w:rsidP="00D71CAC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E0D47">
        <w:rPr>
          <w:rFonts w:ascii="Arial" w:eastAsiaTheme="minorHAnsi" w:hAnsi="Arial" w:cs="Arial"/>
          <w:sz w:val="24"/>
          <w:szCs w:val="24"/>
        </w:rPr>
        <w:t xml:space="preserve">- Projeto de Lei nº </w:t>
      </w:r>
      <w:r>
        <w:rPr>
          <w:rFonts w:ascii="Arial" w:eastAsiaTheme="minorHAnsi" w:hAnsi="Arial" w:cs="Arial"/>
          <w:sz w:val="24"/>
          <w:szCs w:val="24"/>
        </w:rPr>
        <w:t>60</w:t>
      </w:r>
      <w:r w:rsidRPr="001E0D47">
        <w:rPr>
          <w:rFonts w:ascii="Arial" w:eastAsiaTheme="minorHAnsi" w:hAnsi="Arial" w:cs="Arial"/>
          <w:sz w:val="24"/>
          <w:szCs w:val="24"/>
        </w:rPr>
        <w:t xml:space="preserve">/2025 que </w:t>
      </w:r>
      <w:r w:rsidRPr="00647C3B">
        <w:rPr>
          <w:rFonts w:ascii="Arial" w:eastAsiaTheme="minorHAnsi" w:hAnsi="Arial" w:cs="Arial"/>
          <w:i/>
          <w:iCs/>
          <w:sz w:val="24"/>
          <w:szCs w:val="24"/>
        </w:rPr>
        <w:t>“Dispõe sobre a inclusão de área conforme especifica, ampliando o perímetro Urbano do Município de Tunápolis e contém outras providencias</w:t>
      </w:r>
      <w:r w:rsidRPr="00647C3B">
        <w:rPr>
          <w:rFonts w:ascii="Arial" w:eastAsiaTheme="minorHAnsi" w:hAnsi="Arial" w:cs="Arial"/>
          <w:sz w:val="24"/>
          <w:szCs w:val="24"/>
        </w:rPr>
        <w:t>”.</w:t>
      </w:r>
    </w:p>
    <w:p w14:paraId="7A6997CD" w14:textId="53BB63CF" w:rsidR="004F38B0" w:rsidRDefault="004F38B0" w:rsidP="004F38B0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</w:p>
    <w:p w14:paraId="294221C5" w14:textId="138DE7D8" w:rsidR="00996AAE" w:rsidRPr="007F14F1" w:rsidRDefault="00996AAE" w:rsidP="00996AA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8888B5E" w14:textId="77777777" w:rsidR="00CD549E" w:rsidRDefault="00CD549E" w:rsidP="003F5A9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3ADE047" w14:textId="6ACAE396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081BE77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C749752" w14:textId="7FD5A941" w:rsidR="00E02783" w:rsidRDefault="00E02783" w:rsidP="00E02783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</w:t>
      </w:r>
      <w:r w:rsidR="00D93FAE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exaro o seguinte Parecer sobre a matéria:</w:t>
      </w:r>
    </w:p>
    <w:p w14:paraId="6E4521BA" w14:textId="77777777" w:rsidR="005C2A6D" w:rsidRDefault="005C2A6D" w:rsidP="00E02783">
      <w:pPr>
        <w:spacing w:after="0" w:line="24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</w:p>
    <w:p w14:paraId="244862E7" w14:textId="10E7351A" w:rsidR="00E02783" w:rsidRDefault="0057455A" w:rsidP="00EC533C">
      <w:pPr>
        <w:spacing w:before="240" w:after="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72A34">
        <w:rPr>
          <w:rFonts w:ascii="Arial" w:hAnsi="Arial" w:cs="Arial"/>
          <w:sz w:val="24"/>
          <w:szCs w:val="24"/>
        </w:rPr>
        <w:t xml:space="preserve">eclaro que o </w:t>
      </w:r>
      <w:r w:rsidR="00D94B64">
        <w:rPr>
          <w:rFonts w:ascii="Arial" w:hAnsi="Arial" w:cs="Arial"/>
          <w:sz w:val="24"/>
          <w:szCs w:val="24"/>
        </w:rPr>
        <w:t>Projeto</w:t>
      </w:r>
      <w:r w:rsidR="00C61640">
        <w:rPr>
          <w:rFonts w:ascii="Arial" w:hAnsi="Arial" w:cs="Arial"/>
          <w:sz w:val="24"/>
          <w:szCs w:val="24"/>
        </w:rPr>
        <w:t xml:space="preserve"> </w:t>
      </w:r>
      <w:r w:rsidR="00C63334">
        <w:rPr>
          <w:rFonts w:ascii="Arial" w:hAnsi="Arial" w:cs="Arial"/>
          <w:sz w:val="24"/>
          <w:szCs w:val="24"/>
        </w:rPr>
        <w:t>de</w:t>
      </w:r>
      <w:r w:rsidR="006235E2">
        <w:rPr>
          <w:rFonts w:ascii="Arial" w:hAnsi="Arial" w:cs="Arial"/>
          <w:sz w:val="24"/>
          <w:szCs w:val="24"/>
        </w:rPr>
        <w:t xml:space="preserve"> Lei nº </w:t>
      </w:r>
      <w:r w:rsidR="00D71CAC">
        <w:rPr>
          <w:rFonts w:ascii="Arial" w:hAnsi="Arial" w:cs="Arial"/>
          <w:sz w:val="24"/>
          <w:szCs w:val="24"/>
        </w:rPr>
        <w:t>60</w:t>
      </w:r>
      <w:r w:rsidR="00996AAE">
        <w:rPr>
          <w:rFonts w:ascii="Arial" w:hAnsi="Arial" w:cs="Arial"/>
          <w:sz w:val="24"/>
          <w:szCs w:val="24"/>
        </w:rPr>
        <w:t>/</w:t>
      </w:r>
      <w:r w:rsidR="00924B8C">
        <w:rPr>
          <w:rFonts w:ascii="Arial" w:hAnsi="Arial" w:cs="Arial"/>
          <w:sz w:val="24"/>
          <w:szCs w:val="24"/>
        </w:rPr>
        <w:t>202</w:t>
      </w:r>
      <w:r w:rsidR="00216648">
        <w:rPr>
          <w:rFonts w:ascii="Arial" w:hAnsi="Arial" w:cs="Arial"/>
          <w:sz w:val="24"/>
          <w:szCs w:val="24"/>
        </w:rPr>
        <w:t>5</w:t>
      </w:r>
      <w:r w:rsidR="000778FB">
        <w:rPr>
          <w:rFonts w:ascii="Arial" w:hAnsi="Arial" w:cs="Arial"/>
          <w:sz w:val="24"/>
          <w:szCs w:val="24"/>
        </w:rPr>
        <w:t xml:space="preserve"> </w:t>
      </w:r>
      <w:r w:rsidR="00E02783">
        <w:rPr>
          <w:rFonts w:ascii="Arial" w:hAnsi="Arial" w:cs="Arial"/>
          <w:sz w:val="24"/>
          <w:szCs w:val="24"/>
        </w:rPr>
        <w:t>preenche os requisitos Regimentais que cumpre</w:t>
      </w:r>
      <w:r w:rsidR="00575D25">
        <w:rPr>
          <w:rFonts w:ascii="Arial" w:hAnsi="Arial" w:cs="Arial"/>
          <w:sz w:val="24"/>
          <w:szCs w:val="24"/>
        </w:rPr>
        <w:t>m</w:t>
      </w:r>
      <w:r w:rsidR="00E02783">
        <w:rPr>
          <w:rFonts w:ascii="Arial" w:hAnsi="Arial" w:cs="Arial"/>
          <w:sz w:val="24"/>
          <w:szCs w:val="24"/>
        </w:rPr>
        <w:t xml:space="preserve"> analisar,</w:t>
      </w:r>
      <w:r w:rsidR="00545802">
        <w:rPr>
          <w:rFonts w:ascii="Arial" w:hAnsi="Arial" w:cs="Arial"/>
          <w:sz w:val="24"/>
          <w:szCs w:val="24"/>
        </w:rPr>
        <w:t xml:space="preserve"> e</w:t>
      </w:r>
      <w:r w:rsidR="00E02783">
        <w:rPr>
          <w:rFonts w:ascii="Arial" w:hAnsi="Arial" w:cs="Arial"/>
          <w:sz w:val="24"/>
          <w:szCs w:val="24"/>
        </w:rPr>
        <w:t xml:space="preserve"> </w:t>
      </w:r>
      <w:r w:rsidR="00545802">
        <w:rPr>
          <w:rFonts w:ascii="Arial" w:hAnsi="Arial" w:cs="Arial"/>
          <w:sz w:val="24"/>
          <w:szCs w:val="24"/>
        </w:rPr>
        <w:t xml:space="preserve">no que concerne a esta comissão, a matéria </w:t>
      </w:r>
      <w:r w:rsidR="00B07D80">
        <w:rPr>
          <w:rFonts w:ascii="Arial" w:hAnsi="Arial" w:cs="Arial"/>
          <w:sz w:val="24"/>
          <w:szCs w:val="24"/>
        </w:rPr>
        <w:t>está</w:t>
      </w:r>
      <w:r w:rsidR="009F73F7">
        <w:rPr>
          <w:rFonts w:ascii="Arial" w:hAnsi="Arial" w:cs="Arial"/>
          <w:sz w:val="24"/>
          <w:szCs w:val="24"/>
        </w:rPr>
        <w:t xml:space="preserve"> </w:t>
      </w:r>
      <w:r w:rsidR="00545802">
        <w:rPr>
          <w:rFonts w:ascii="Arial" w:hAnsi="Arial" w:cs="Arial"/>
          <w:sz w:val="24"/>
          <w:szCs w:val="24"/>
        </w:rPr>
        <w:t>apta</w:t>
      </w:r>
      <w:r w:rsidR="00E158A3">
        <w:rPr>
          <w:rFonts w:ascii="Arial" w:hAnsi="Arial" w:cs="Arial"/>
          <w:sz w:val="24"/>
          <w:szCs w:val="24"/>
        </w:rPr>
        <w:t xml:space="preserve"> para deliberação em Plenário.</w:t>
      </w:r>
    </w:p>
    <w:p w14:paraId="2C075774" w14:textId="77777777" w:rsidR="008D75DD" w:rsidRDefault="008D75DD" w:rsidP="008D75DD">
      <w:pPr>
        <w:spacing w:before="240" w:after="0"/>
        <w:ind w:firstLine="1418"/>
        <w:jc w:val="both"/>
        <w:rPr>
          <w:rFonts w:ascii="Arial" w:hAnsi="Arial" w:cs="Arial"/>
          <w:sz w:val="24"/>
          <w:szCs w:val="24"/>
        </w:rPr>
      </w:pPr>
    </w:p>
    <w:p w14:paraId="118359B0" w14:textId="4B38030E" w:rsidR="00E02783" w:rsidRPr="00575D25" w:rsidRDefault="00E02783" w:rsidP="008D75DD">
      <w:pPr>
        <w:spacing w:after="0"/>
        <w:ind w:firstLine="1418"/>
        <w:jc w:val="both"/>
        <w:rPr>
          <w:rFonts w:ascii="Arial" w:eastAsiaTheme="minorHAnsi" w:hAnsi="Arial" w:cs="Arial"/>
          <w:color w:val="FF0000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Sala das Comissões Permanentes da Câmara Municipal d</w:t>
      </w:r>
      <w:r w:rsidR="00B729D7">
        <w:rPr>
          <w:rFonts w:ascii="Arial" w:eastAsiaTheme="minorHAnsi" w:hAnsi="Arial" w:cs="Arial"/>
          <w:sz w:val="24"/>
          <w:szCs w:val="24"/>
        </w:rPr>
        <w:t>e Ver</w:t>
      </w:r>
      <w:r w:rsidR="00372A34">
        <w:rPr>
          <w:rFonts w:ascii="Arial" w:eastAsiaTheme="minorHAnsi" w:hAnsi="Arial" w:cs="Arial"/>
          <w:sz w:val="24"/>
          <w:szCs w:val="24"/>
        </w:rPr>
        <w:t xml:space="preserve">eadores de </w:t>
      </w:r>
      <w:r w:rsidR="00C5644E">
        <w:rPr>
          <w:rFonts w:ascii="Arial" w:eastAsiaTheme="minorHAnsi" w:hAnsi="Arial" w:cs="Arial"/>
          <w:sz w:val="24"/>
          <w:szCs w:val="24"/>
        </w:rPr>
        <w:t>Tunápolis</w:t>
      </w:r>
      <w:r w:rsidR="00A948C9">
        <w:rPr>
          <w:rFonts w:ascii="Arial" w:eastAsiaTheme="minorHAnsi" w:hAnsi="Arial" w:cs="Arial"/>
          <w:sz w:val="24"/>
          <w:szCs w:val="24"/>
        </w:rPr>
        <w:t>,</w:t>
      </w:r>
      <w:r w:rsidR="00D93FAE">
        <w:rPr>
          <w:rFonts w:ascii="Arial" w:eastAsiaTheme="minorHAnsi" w:hAnsi="Arial" w:cs="Arial"/>
          <w:sz w:val="24"/>
          <w:szCs w:val="24"/>
        </w:rPr>
        <w:t xml:space="preserve"> </w:t>
      </w:r>
      <w:r w:rsidR="00D71CAC">
        <w:rPr>
          <w:rFonts w:ascii="Arial" w:eastAsiaTheme="minorHAnsi" w:hAnsi="Arial" w:cs="Arial"/>
          <w:sz w:val="24"/>
          <w:szCs w:val="24"/>
        </w:rPr>
        <w:t>09</w:t>
      </w:r>
      <w:r w:rsidR="00D4292C">
        <w:rPr>
          <w:rFonts w:ascii="Arial" w:eastAsiaTheme="minorHAnsi" w:hAnsi="Arial" w:cs="Arial"/>
          <w:sz w:val="24"/>
          <w:szCs w:val="24"/>
        </w:rPr>
        <w:t xml:space="preserve"> d</w:t>
      </w:r>
      <w:r w:rsidR="00D71CAC">
        <w:rPr>
          <w:rFonts w:ascii="Arial" w:eastAsiaTheme="minorHAnsi" w:hAnsi="Arial" w:cs="Arial"/>
          <w:sz w:val="24"/>
          <w:szCs w:val="24"/>
        </w:rPr>
        <w:t xml:space="preserve">e </w:t>
      </w:r>
      <w:proofErr w:type="gramStart"/>
      <w:r w:rsidR="00D71CAC">
        <w:rPr>
          <w:rFonts w:ascii="Arial" w:eastAsiaTheme="minorHAnsi" w:hAnsi="Arial" w:cs="Arial"/>
          <w:sz w:val="24"/>
          <w:szCs w:val="24"/>
        </w:rPr>
        <w:t>Fevereiro</w:t>
      </w:r>
      <w:proofErr w:type="gramEnd"/>
      <w:r w:rsidR="0057455A">
        <w:rPr>
          <w:rFonts w:ascii="Arial" w:eastAsiaTheme="minorHAnsi" w:hAnsi="Arial" w:cs="Arial"/>
          <w:sz w:val="24"/>
          <w:szCs w:val="24"/>
        </w:rPr>
        <w:t xml:space="preserve"> de 202</w:t>
      </w:r>
      <w:r w:rsidR="00D71CAC">
        <w:rPr>
          <w:rFonts w:ascii="Arial" w:eastAsiaTheme="minorHAnsi" w:hAnsi="Arial" w:cs="Arial"/>
          <w:sz w:val="24"/>
          <w:szCs w:val="24"/>
        </w:rPr>
        <w:t>6</w:t>
      </w:r>
      <w:r w:rsidRPr="00B068DB">
        <w:rPr>
          <w:rFonts w:ascii="Arial" w:eastAsiaTheme="minorHAnsi" w:hAnsi="Arial" w:cs="Arial"/>
          <w:sz w:val="24"/>
          <w:szCs w:val="24"/>
        </w:rPr>
        <w:t>.</w:t>
      </w:r>
    </w:p>
    <w:p w14:paraId="77146B68" w14:textId="77777777" w:rsidR="00E02783" w:rsidRDefault="00E02783" w:rsidP="00E02783">
      <w:pPr>
        <w:spacing w:after="0" w:line="240" w:lineRule="auto"/>
        <w:ind w:left="-284" w:firstLine="1702"/>
        <w:jc w:val="both"/>
        <w:rPr>
          <w:rFonts w:ascii="Arial" w:eastAsiaTheme="minorHAnsi" w:hAnsi="Arial" w:cs="Arial"/>
          <w:sz w:val="24"/>
          <w:szCs w:val="24"/>
        </w:rPr>
      </w:pPr>
    </w:p>
    <w:p w14:paraId="6569770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1647D1" w14:textId="16CE05FA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8C8149E" w14:textId="77777777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14FED6" w14:textId="2E438852" w:rsidR="00E02783" w:rsidRDefault="00D71CAC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LEANDRO BORTOLINI</w:t>
      </w:r>
    </w:p>
    <w:p w14:paraId="7181474F" w14:textId="7819E0BD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Relato</w:t>
      </w:r>
      <w:r w:rsidR="00545802">
        <w:rPr>
          <w:rFonts w:ascii="Arial" w:eastAsiaTheme="minorHAnsi" w:hAnsi="Arial" w:cs="Arial"/>
          <w:sz w:val="24"/>
          <w:szCs w:val="24"/>
        </w:rPr>
        <w:t>r</w:t>
      </w:r>
    </w:p>
    <w:p w14:paraId="278C4015" w14:textId="77777777" w:rsidR="00CB04BF" w:rsidRDefault="00CB04B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0CADAC7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110780E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2CAA154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BD1FF98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2F6BD07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27512FB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6E2B6AA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AF1AA0E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60B94F2F" w14:textId="77777777" w:rsidR="00D25A6F" w:rsidRDefault="00D25A6F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9BAB538" w14:textId="614D543B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5AC6ECE6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1C7B1F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F406EA3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1C5DA284" w14:textId="77777777" w:rsidR="00D25A6F" w:rsidRDefault="00D25A6F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5E13ED9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5D3510A7" w14:textId="787D01D8" w:rsidR="00D01BCC" w:rsidRDefault="00D01BCC" w:rsidP="00D01B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 (III)</w:t>
      </w:r>
    </w:p>
    <w:p w14:paraId="528C99EA" w14:textId="77777777" w:rsidR="005C2A6D" w:rsidRDefault="005C2A6D" w:rsidP="00D01BCC">
      <w:pPr>
        <w:jc w:val="center"/>
        <w:rPr>
          <w:rFonts w:ascii="Arial" w:hAnsi="Arial" w:cs="Arial"/>
          <w:sz w:val="24"/>
          <w:szCs w:val="24"/>
        </w:rPr>
      </w:pPr>
    </w:p>
    <w:p w14:paraId="51E6F3B0" w14:textId="77777777" w:rsidR="00D71CAC" w:rsidRDefault="00D71CAC" w:rsidP="00D71CAC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E0D47">
        <w:rPr>
          <w:rFonts w:ascii="Arial" w:eastAsiaTheme="minorHAnsi" w:hAnsi="Arial" w:cs="Arial"/>
          <w:sz w:val="24"/>
          <w:szCs w:val="24"/>
        </w:rPr>
        <w:t xml:space="preserve">- Projeto de Lei nº </w:t>
      </w:r>
      <w:r>
        <w:rPr>
          <w:rFonts w:ascii="Arial" w:eastAsiaTheme="minorHAnsi" w:hAnsi="Arial" w:cs="Arial"/>
          <w:sz w:val="24"/>
          <w:szCs w:val="24"/>
        </w:rPr>
        <w:t>60</w:t>
      </w:r>
      <w:r w:rsidRPr="001E0D47">
        <w:rPr>
          <w:rFonts w:ascii="Arial" w:eastAsiaTheme="minorHAnsi" w:hAnsi="Arial" w:cs="Arial"/>
          <w:sz w:val="24"/>
          <w:szCs w:val="24"/>
        </w:rPr>
        <w:t xml:space="preserve">/2025 que </w:t>
      </w:r>
      <w:r w:rsidRPr="00647C3B">
        <w:rPr>
          <w:rFonts w:ascii="Arial" w:eastAsiaTheme="minorHAnsi" w:hAnsi="Arial" w:cs="Arial"/>
          <w:i/>
          <w:iCs/>
          <w:sz w:val="24"/>
          <w:szCs w:val="24"/>
        </w:rPr>
        <w:t>“Dispõe sobre a inclusão de área conforme especifica, ampliando o perímetro Urbano do Município de Tunápolis e contém outras providencias</w:t>
      </w:r>
      <w:r w:rsidRPr="00647C3B">
        <w:rPr>
          <w:rFonts w:ascii="Arial" w:eastAsiaTheme="minorHAnsi" w:hAnsi="Arial" w:cs="Arial"/>
          <w:sz w:val="24"/>
          <w:szCs w:val="24"/>
        </w:rPr>
        <w:t>”.</w:t>
      </w:r>
    </w:p>
    <w:p w14:paraId="361D70D0" w14:textId="6FD1779F" w:rsidR="004F38B0" w:rsidRDefault="004F38B0" w:rsidP="004F38B0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ab/>
      </w:r>
    </w:p>
    <w:p w14:paraId="5BA9DB9E" w14:textId="77777777" w:rsidR="004426C4" w:rsidRDefault="004426C4" w:rsidP="004426C4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CCD9456" w14:textId="77777777" w:rsidR="009A1E64" w:rsidRDefault="009A1E64" w:rsidP="004242F4">
      <w:pPr>
        <w:tabs>
          <w:tab w:val="left" w:pos="8504"/>
        </w:tabs>
        <w:spacing w:after="0" w:line="240" w:lineRule="auto"/>
        <w:ind w:right="-1"/>
        <w:rPr>
          <w:rFonts w:ascii="Arial" w:eastAsia="Calibri" w:hAnsi="Arial" w:cs="Arial"/>
          <w:sz w:val="24"/>
        </w:rPr>
      </w:pPr>
    </w:p>
    <w:p w14:paraId="32E8992A" w14:textId="16B1C48A" w:rsidR="00E02783" w:rsidRDefault="00C5644E" w:rsidP="004242F4">
      <w:pPr>
        <w:tabs>
          <w:tab w:val="left" w:pos="8504"/>
        </w:tabs>
        <w:spacing w:after="0" w:line="240" w:lineRule="auto"/>
        <w:ind w:right="-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 xml:space="preserve">Posição sobre o Parecer do relator em relação </w:t>
      </w:r>
      <w:r w:rsidR="00575D25">
        <w:rPr>
          <w:rFonts w:ascii="Arial" w:eastAsia="Calibri" w:hAnsi="Arial" w:cs="Arial"/>
          <w:sz w:val="24"/>
        </w:rPr>
        <w:t>as</w:t>
      </w:r>
      <w:r>
        <w:rPr>
          <w:rFonts w:ascii="Arial" w:eastAsia="Calibri" w:hAnsi="Arial" w:cs="Arial"/>
          <w:sz w:val="24"/>
        </w:rPr>
        <w:t xml:space="preserve"> matéria</w:t>
      </w:r>
      <w:r w:rsidR="00575D25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195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679"/>
      </w:tblGrid>
      <w:tr w:rsidR="004242F4" w14:paraId="4DAD755B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F7E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487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A8B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242F4" w14:paraId="65EA8CE3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C0E16" w14:textId="687888B0" w:rsidR="004242F4" w:rsidRDefault="00D71CAC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LEANDRO BORTOLINI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5164B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50CD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FB5A268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D92C" w14:textId="0E74A7E5" w:rsidR="004242F4" w:rsidRDefault="00D71CAC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LIANE J. F. JECK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5EBA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D5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90B59F0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43A30" w14:textId="1867017F" w:rsidR="004242F4" w:rsidRDefault="00D71CAC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ALOÍSIO J. LEHMEN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0514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883C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641DC2B1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614A6" w14:textId="7C0C64E7" w:rsidR="004242F4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2CA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49CB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25F8BED2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2FDCE" w14:textId="3BFDD9B6" w:rsidR="004242F4" w:rsidRDefault="00D71CAC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ADILSON P. BORBA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AB31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4B1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216648" w14:paraId="713FB4C2" w14:textId="77777777" w:rsidTr="00216648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1237B" w14:textId="2BFFD48B" w:rsidR="00216648" w:rsidRDefault="00D71CAC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LAURICIO NICODEM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E871" w14:textId="77777777" w:rsidR="00216648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4312E" w14:textId="77777777" w:rsidR="00216648" w:rsidRDefault="00216648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3A28D67" w14:textId="77777777" w:rsidR="004242F4" w:rsidRDefault="004242F4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D9FEAB8" w14:textId="2E08D1ED" w:rsidR="00E02783" w:rsidRPr="00CB04BF" w:rsidRDefault="00E02783" w:rsidP="00CB04BF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Reunião ordinária realizada no </w:t>
      </w:r>
      <w:r w:rsidR="00216648">
        <w:rPr>
          <w:rFonts w:ascii="Arial" w:eastAsiaTheme="minorHAnsi" w:hAnsi="Arial" w:cs="Arial"/>
          <w:sz w:val="24"/>
          <w:szCs w:val="24"/>
        </w:rPr>
        <w:t xml:space="preserve">dia </w:t>
      </w:r>
      <w:r w:rsidR="004F38B0">
        <w:rPr>
          <w:rFonts w:ascii="Arial" w:eastAsiaTheme="minorHAnsi" w:hAnsi="Arial" w:cs="Arial"/>
          <w:sz w:val="24"/>
          <w:szCs w:val="24"/>
        </w:rPr>
        <w:t>0</w:t>
      </w:r>
      <w:r w:rsidR="00D71CAC">
        <w:rPr>
          <w:rFonts w:ascii="Arial" w:eastAsiaTheme="minorHAnsi" w:hAnsi="Arial" w:cs="Arial"/>
          <w:sz w:val="24"/>
          <w:szCs w:val="24"/>
        </w:rPr>
        <w:t>9</w:t>
      </w:r>
      <w:r w:rsidR="00D4292C">
        <w:rPr>
          <w:rFonts w:ascii="Arial" w:eastAsiaTheme="minorHAnsi" w:hAnsi="Arial" w:cs="Arial"/>
          <w:sz w:val="24"/>
          <w:szCs w:val="24"/>
        </w:rPr>
        <w:t xml:space="preserve"> de </w:t>
      </w:r>
      <w:r w:rsidR="00D71CAC">
        <w:rPr>
          <w:rFonts w:ascii="Arial" w:eastAsiaTheme="minorHAnsi" w:hAnsi="Arial" w:cs="Arial"/>
          <w:sz w:val="24"/>
          <w:szCs w:val="24"/>
        </w:rPr>
        <w:t xml:space="preserve">fevereiro </w:t>
      </w:r>
      <w:r w:rsidR="00216648">
        <w:rPr>
          <w:rFonts w:ascii="Arial" w:eastAsiaTheme="minorHAnsi" w:hAnsi="Arial" w:cs="Arial"/>
          <w:sz w:val="24"/>
          <w:szCs w:val="24"/>
        </w:rPr>
        <w:t>de 202</w:t>
      </w:r>
      <w:r w:rsidR="00D71CAC">
        <w:rPr>
          <w:rFonts w:ascii="Arial" w:eastAsiaTheme="minorHAnsi" w:hAnsi="Arial" w:cs="Arial"/>
          <w:sz w:val="24"/>
          <w:szCs w:val="24"/>
        </w:rPr>
        <w:t>6</w:t>
      </w:r>
      <w:r w:rsidR="00D93FAE">
        <w:rPr>
          <w:rFonts w:ascii="Arial" w:eastAsiaTheme="minorHAnsi" w:hAnsi="Arial" w:cs="Arial"/>
          <w:sz w:val="24"/>
          <w:szCs w:val="24"/>
        </w:rPr>
        <w:t>.</w:t>
      </w:r>
    </w:p>
    <w:p w14:paraId="1AFC4F4A" w14:textId="77777777" w:rsidR="00E02783" w:rsidRDefault="00E02783" w:rsidP="00E02783"/>
    <w:p w14:paraId="5C7A976F" w14:textId="77777777" w:rsidR="00E8282A" w:rsidRDefault="00E8282A"/>
    <w:sectPr w:rsidR="00E8282A" w:rsidSect="00365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3"/>
    <w:rsid w:val="000033EC"/>
    <w:rsid w:val="00014587"/>
    <w:rsid w:val="00022E64"/>
    <w:rsid w:val="000268DD"/>
    <w:rsid w:val="000505A0"/>
    <w:rsid w:val="0006322F"/>
    <w:rsid w:val="000778FB"/>
    <w:rsid w:val="000A0BB8"/>
    <w:rsid w:val="000F7B70"/>
    <w:rsid w:val="0010344F"/>
    <w:rsid w:val="00112B69"/>
    <w:rsid w:val="00180818"/>
    <w:rsid w:val="001A175B"/>
    <w:rsid w:val="001A1CB2"/>
    <w:rsid w:val="001E4E96"/>
    <w:rsid w:val="00216648"/>
    <w:rsid w:val="00224E0B"/>
    <w:rsid w:val="00236C9E"/>
    <w:rsid w:val="00245A07"/>
    <w:rsid w:val="00277069"/>
    <w:rsid w:val="00281885"/>
    <w:rsid w:val="002826FC"/>
    <w:rsid w:val="00297D1E"/>
    <w:rsid w:val="002E2202"/>
    <w:rsid w:val="002E42A2"/>
    <w:rsid w:val="00301B1D"/>
    <w:rsid w:val="00344F86"/>
    <w:rsid w:val="00351842"/>
    <w:rsid w:val="00356387"/>
    <w:rsid w:val="00365456"/>
    <w:rsid w:val="00372A34"/>
    <w:rsid w:val="0039225E"/>
    <w:rsid w:val="003E1554"/>
    <w:rsid w:val="003E6D2D"/>
    <w:rsid w:val="003F5A92"/>
    <w:rsid w:val="00400359"/>
    <w:rsid w:val="004242F4"/>
    <w:rsid w:val="004426C4"/>
    <w:rsid w:val="00487599"/>
    <w:rsid w:val="00491D71"/>
    <w:rsid w:val="0049472F"/>
    <w:rsid w:val="004A22FD"/>
    <w:rsid w:val="004A49DE"/>
    <w:rsid w:val="004E3B7C"/>
    <w:rsid w:val="004F38B0"/>
    <w:rsid w:val="0050355A"/>
    <w:rsid w:val="00506056"/>
    <w:rsid w:val="00523359"/>
    <w:rsid w:val="00545802"/>
    <w:rsid w:val="0057455A"/>
    <w:rsid w:val="00575D25"/>
    <w:rsid w:val="00576985"/>
    <w:rsid w:val="005B246D"/>
    <w:rsid w:val="005C2A6D"/>
    <w:rsid w:val="006051AE"/>
    <w:rsid w:val="006235E2"/>
    <w:rsid w:val="00624C9F"/>
    <w:rsid w:val="00631F83"/>
    <w:rsid w:val="00645C50"/>
    <w:rsid w:val="006B0C65"/>
    <w:rsid w:val="00701BCB"/>
    <w:rsid w:val="00705342"/>
    <w:rsid w:val="00726059"/>
    <w:rsid w:val="00726F92"/>
    <w:rsid w:val="0073326A"/>
    <w:rsid w:val="00762C08"/>
    <w:rsid w:val="0077491D"/>
    <w:rsid w:val="00787FB9"/>
    <w:rsid w:val="007B6DA2"/>
    <w:rsid w:val="0080116B"/>
    <w:rsid w:val="00840CF1"/>
    <w:rsid w:val="00841CBF"/>
    <w:rsid w:val="00842F79"/>
    <w:rsid w:val="00844D2A"/>
    <w:rsid w:val="0087595F"/>
    <w:rsid w:val="00880886"/>
    <w:rsid w:val="008A676A"/>
    <w:rsid w:val="008B2C89"/>
    <w:rsid w:val="008C2658"/>
    <w:rsid w:val="008D75DD"/>
    <w:rsid w:val="008E1C52"/>
    <w:rsid w:val="008F3C4C"/>
    <w:rsid w:val="00910109"/>
    <w:rsid w:val="00912374"/>
    <w:rsid w:val="00922871"/>
    <w:rsid w:val="00924B8C"/>
    <w:rsid w:val="0095058C"/>
    <w:rsid w:val="00993BD2"/>
    <w:rsid w:val="00996AAE"/>
    <w:rsid w:val="009A1E64"/>
    <w:rsid w:val="009F73F7"/>
    <w:rsid w:val="00A5006D"/>
    <w:rsid w:val="00A74988"/>
    <w:rsid w:val="00A91517"/>
    <w:rsid w:val="00A948C9"/>
    <w:rsid w:val="00AC6F9A"/>
    <w:rsid w:val="00AF34DE"/>
    <w:rsid w:val="00B068DB"/>
    <w:rsid w:val="00B07D80"/>
    <w:rsid w:val="00B11A13"/>
    <w:rsid w:val="00B17927"/>
    <w:rsid w:val="00B2444D"/>
    <w:rsid w:val="00B60919"/>
    <w:rsid w:val="00B61436"/>
    <w:rsid w:val="00B71A21"/>
    <w:rsid w:val="00B72519"/>
    <w:rsid w:val="00B729D7"/>
    <w:rsid w:val="00BC0ED8"/>
    <w:rsid w:val="00BC40D0"/>
    <w:rsid w:val="00BD75A1"/>
    <w:rsid w:val="00BE7A13"/>
    <w:rsid w:val="00BF19FA"/>
    <w:rsid w:val="00C07928"/>
    <w:rsid w:val="00C141BF"/>
    <w:rsid w:val="00C33731"/>
    <w:rsid w:val="00C5644E"/>
    <w:rsid w:val="00C60648"/>
    <w:rsid w:val="00C61640"/>
    <w:rsid w:val="00C63334"/>
    <w:rsid w:val="00C63BBB"/>
    <w:rsid w:val="00C703A8"/>
    <w:rsid w:val="00CB04BF"/>
    <w:rsid w:val="00CD549E"/>
    <w:rsid w:val="00D01793"/>
    <w:rsid w:val="00D01BCC"/>
    <w:rsid w:val="00D24640"/>
    <w:rsid w:val="00D25A6F"/>
    <w:rsid w:val="00D3187B"/>
    <w:rsid w:val="00D322B1"/>
    <w:rsid w:val="00D4292C"/>
    <w:rsid w:val="00D61AE9"/>
    <w:rsid w:val="00D6270B"/>
    <w:rsid w:val="00D64215"/>
    <w:rsid w:val="00D65595"/>
    <w:rsid w:val="00D71CAC"/>
    <w:rsid w:val="00D915B0"/>
    <w:rsid w:val="00D93FAE"/>
    <w:rsid w:val="00D94B64"/>
    <w:rsid w:val="00D963C8"/>
    <w:rsid w:val="00DC6248"/>
    <w:rsid w:val="00DC7F35"/>
    <w:rsid w:val="00DD102B"/>
    <w:rsid w:val="00DF6EA7"/>
    <w:rsid w:val="00E02783"/>
    <w:rsid w:val="00E158A3"/>
    <w:rsid w:val="00E50323"/>
    <w:rsid w:val="00E70707"/>
    <w:rsid w:val="00E8282A"/>
    <w:rsid w:val="00E91FAD"/>
    <w:rsid w:val="00EA304F"/>
    <w:rsid w:val="00EA7FE3"/>
    <w:rsid w:val="00EC2015"/>
    <w:rsid w:val="00EC533C"/>
    <w:rsid w:val="00F201BA"/>
    <w:rsid w:val="00F511A7"/>
    <w:rsid w:val="00F75AB7"/>
    <w:rsid w:val="00F75AEC"/>
    <w:rsid w:val="00FB771E"/>
    <w:rsid w:val="00FC0C6C"/>
    <w:rsid w:val="00FC6E29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810"/>
  <w15:docId w15:val="{4D155413-4E77-4FF4-B88E-1EC19E9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3C"/>
    <w:pPr>
      <w:ind w:firstLine="0"/>
      <w:jc w:val="left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783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060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268D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842D-0C0C-4B44-8170-DAC6FFD5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de Vereadores de Tunápolis</cp:lastModifiedBy>
  <cp:revision>2</cp:revision>
  <cp:lastPrinted>2026-02-09T16:56:00Z</cp:lastPrinted>
  <dcterms:created xsi:type="dcterms:W3CDTF">2026-02-09T16:56:00Z</dcterms:created>
  <dcterms:modified xsi:type="dcterms:W3CDTF">2026-02-09T16:56:00Z</dcterms:modified>
</cp:coreProperties>
</file>