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FFEF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7F73502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5011C67B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54F8498E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42ABA81" w14:textId="70DFC55F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</w:t>
      </w:r>
      <w:r w:rsidR="0064349E">
        <w:rPr>
          <w:rFonts w:ascii="Arial" w:hAnsi="Arial" w:cs="Arial"/>
          <w:sz w:val="28"/>
          <w:szCs w:val="24"/>
        </w:rPr>
        <w:t xml:space="preserve"> (I)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0641D29D" w14:textId="1B664F05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</w:t>
      </w:r>
      <w:r w:rsidR="0064349E">
        <w:rPr>
          <w:rFonts w:ascii="Arial" w:hAnsi="Arial" w:cs="Arial"/>
          <w:sz w:val="28"/>
          <w:szCs w:val="24"/>
        </w:rPr>
        <w:t xml:space="preserve"> (II)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26398C28" w14:textId="5D74379E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  <w:r w:rsidR="0064349E">
        <w:rPr>
          <w:rFonts w:ascii="Arial" w:hAnsi="Arial" w:cs="Arial"/>
          <w:bCs/>
          <w:sz w:val="28"/>
          <w:szCs w:val="24"/>
        </w:rPr>
        <w:t xml:space="preserve"> (III).</w:t>
      </w:r>
    </w:p>
    <w:p w14:paraId="08C29A13" w14:textId="77777777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</w:p>
    <w:p w14:paraId="2C9D7F94" w14:textId="77777777" w:rsidR="00D453A8" w:rsidRDefault="00D453A8" w:rsidP="00465879">
      <w:pPr>
        <w:spacing w:after="0"/>
        <w:rPr>
          <w:rFonts w:ascii="Arial" w:hAnsi="Arial" w:cs="Arial"/>
          <w:bCs/>
          <w:sz w:val="24"/>
        </w:rPr>
      </w:pPr>
    </w:p>
    <w:p w14:paraId="31341ED8" w14:textId="0F3572D1" w:rsidR="00415C63" w:rsidRDefault="00190006" w:rsidP="00465879">
      <w:pPr>
        <w:spacing w:after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Matéria:</w:t>
      </w:r>
    </w:p>
    <w:p w14:paraId="4D3442FE" w14:textId="77777777" w:rsidR="002663E8" w:rsidRPr="002663E8" w:rsidRDefault="002663E8" w:rsidP="002663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11A5AC" w14:textId="77777777" w:rsidR="004C3993" w:rsidRPr="004C3993" w:rsidRDefault="004C3993" w:rsidP="004C39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214291491"/>
      <w:r w:rsidRPr="004C3993">
        <w:rPr>
          <w:rFonts w:ascii="Arial" w:hAnsi="Arial" w:cs="Arial"/>
          <w:sz w:val="24"/>
          <w:szCs w:val="24"/>
        </w:rPr>
        <w:t xml:space="preserve">- Projeto de Lei nº 07/2026, que </w:t>
      </w:r>
      <w:r w:rsidRPr="004C3993">
        <w:rPr>
          <w:rFonts w:ascii="Arial" w:hAnsi="Arial" w:cs="Arial"/>
          <w:i/>
          <w:iCs/>
          <w:sz w:val="24"/>
          <w:szCs w:val="24"/>
        </w:rPr>
        <w:t xml:space="preserve">“Dá nova redação ao </w:t>
      </w:r>
      <w:r w:rsidRPr="004C3993">
        <w:rPr>
          <w:rFonts w:ascii="Arial" w:hAnsi="Arial" w:cs="Arial"/>
          <w:b/>
          <w:bCs/>
          <w:i/>
          <w:iCs/>
          <w:sz w:val="24"/>
          <w:szCs w:val="24"/>
        </w:rPr>
        <w:t xml:space="preserve">Anexo II, letra A, C, e D, Anexo IV e V, </w:t>
      </w:r>
      <w:r w:rsidRPr="004C3993">
        <w:rPr>
          <w:rFonts w:ascii="Arial" w:hAnsi="Arial" w:cs="Arial"/>
          <w:i/>
          <w:iCs/>
          <w:sz w:val="24"/>
          <w:szCs w:val="24"/>
        </w:rPr>
        <w:t>da Lei Complementar nº 080, de 07 de maio de 2025, que dispõe sobre o Plano de Cargos, Carreira e Remuneração de Pessoal da Administração Pública do Município de Tunápolis, Estado de Santa Catarina e contém outras providências”.</w:t>
      </w:r>
      <w:bookmarkEnd w:id="0"/>
    </w:p>
    <w:p w14:paraId="3B2C4FBB" w14:textId="77777777" w:rsidR="004C3993" w:rsidRDefault="004C3993" w:rsidP="00465879">
      <w:pPr>
        <w:spacing w:after="0" w:line="36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7B669A6" w14:textId="4215034C" w:rsidR="00415C63" w:rsidRDefault="00415C63" w:rsidP="00465879">
      <w:pPr>
        <w:spacing w:after="0" w:line="36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E044F73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668ADF2" w14:textId="5EF079E3" w:rsidR="00415C63" w:rsidRDefault="00415C63" w:rsidP="0046587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relator, exaro o seguinte Parecer sobre a matéria:</w:t>
      </w:r>
    </w:p>
    <w:p w14:paraId="1F0F0E81" w14:textId="4EAA5469" w:rsidR="00415C63" w:rsidRDefault="007D7B06" w:rsidP="007D7B06">
      <w:pPr>
        <w:spacing w:after="0" w:line="360" w:lineRule="auto"/>
        <w:ind w:left="708" w:firstLine="708"/>
        <w:jc w:val="both"/>
        <w:rPr>
          <w:rFonts w:ascii="Arial" w:eastAsiaTheme="minorHAnsi" w:hAnsi="Arial" w:cs="Arial"/>
          <w:vanish/>
          <w:sz w:val="24"/>
          <w:szCs w:val="24"/>
          <w:specVanish/>
        </w:rPr>
      </w:pP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 w:rsidR="00AD6C5B">
        <w:rPr>
          <w:rFonts w:ascii="Arial" w:eastAsiaTheme="minorHAnsi" w:hAnsi="Arial" w:cs="Arial"/>
          <w:sz w:val="24"/>
          <w:szCs w:val="24"/>
        </w:rPr>
        <w:t>D</w:t>
      </w:r>
      <w:r w:rsidR="00415C63">
        <w:rPr>
          <w:rFonts w:ascii="Arial" w:eastAsiaTheme="minorHAnsi" w:hAnsi="Arial" w:cs="Arial"/>
          <w:sz w:val="24"/>
          <w:szCs w:val="24"/>
        </w:rPr>
        <w:t xml:space="preserve">eclaro que o </w:t>
      </w:r>
    </w:p>
    <w:p w14:paraId="1FAC2A54" w14:textId="2374B30F" w:rsidR="00415C63" w:rsidRDefault="00415C63" w:rsidP="004658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E581F">
        <w:rPr>
          <w:rFonts w:ascii="Arial" w:hAnsi="Arial" w:cs="Arial"/>
          <w:sz w:val="24"/>
          <w:szCs w:val="24"/>
        </w:rPr>
        <w:t>rojeto</w:t>
      </w:r>
      <w:r w:rsidR="00190006">
        <w:rPr>
          <w:rFonts w:ascii="Arial" w:hAnsi="Arial" w:cs="Arial"/>
          <w:sz w:val="24"/>
          <w:szCs w:val="24"/>
        </w:rPr>
        <w:t xml:space="preserve"> d</w:t>
      </w:r>
      <w:r w:rsidR="00EF4CFC">
        <w:rPr>
          <w:rFonts w:ascii="Arial" w:hAnsi="Arial" w:cs="Arial"/>
          <w:sz w:val="24"/>
          <w:szCs w:val="24"/>
        </w:rPr>
        <w:t xml:space="preserve">e </w:t>
      </w:r>
      <w:r w:rsidR="00FE298E">
        <w:rPr>
          <w:rFonts w:ascii="Arial" w:hAnsi="Arial" w:cs="Arial"/>
          <w:sz w:val="24"/>
          <w:szCs w:val="24"/>
        </w:rPr>
        <w:t>Lei nº</w:t>
      </w:r>
      <w:r w:rsidR="00917A97">
        <w:rPr>
          <w:rFonts w:ascii="Arial" w:hAnsi="Arial" w:cs="Arial"/>
          <w:sz w:val="24"/>
          <w:szCs w:val="24"/>
        </w:rPr>
        <w:t xml:space="preserve"> </w:t>
      </w:r>
      <w:r w:rsidR="007D7B06">
        <w:rPr>
          <w:rFonts w:ascii="Arial" w:hAnsi="Arial" w:cs="Arial"/>
          <w:sz w:val="24"/>
          <w:szCs w:val="24"/>
        </w:rPr>
        <w:t>0</w:t>
      </w:r>
      <w:r w:rsidR="004C3993">
        <w:rPr>
          <w:rFonts w:ascii="Arial" w:hAnsi="Arial" w:cs="Arial"/>
          <w:sz w:val="24"/>
          <w:szCs w:val="24"/>
        </w:rPr>
        <w:t>7</w:t>
      </w:r>
      <w:r w:rsidR="00AD6C5B">
        <w:rPr>
          <w:rFonts w:ascii="Arial" w:hAnsi="Arial" w:cs="Arial"/>
          <w:sz w:val="24"/>
          <w:szCs w:val="24"/>
        </w:rPr>
        <w:t>/</w:t>
      </w:r>
      <w:r w:rsidR="00465879">
        <w:rPr>
          <w:rFonts w:ascii="Arial" w:hAnsi="Arial" w:cs="Arial"/>
          <w:sz w:val="24"/>
          <w:szCs w:val="24"/>
        </w:rPr>
        <w:t>202</w:t>
      </w:r>
      <w:r w:rsidR="007D7B06">
        <w:rPr>
          <w:rFonts w:ascii="Arial" w:hAnsi="Arial" w:cs="Arial"/>
          <w:sz w:val="24"/>
          <w:szCs w:val="24"/>
        </w:rPr>
        <w:t>6</w:t>
      </w:r>
      <w:r w:rsidR="008C450F">
        <w:rPr>
          <w:rFonts w:ascii="Arial" w:hAnsi="Arial" w:cs="Arial"/>
          <w:sz w:val="24"/>
          <w:szCs w:val="24"/>
        </w:rPr>
        <w:t xml:space="preserve"> </w:t>
      </w:r>
      <w:r w:rsidRPr="002B6A90">
        <w:rPr>
          <w:rFonts w:ascii="Arial" w:hAnsi="Arial" w:cs="Arial"/>
          <w:sz w:val="24"/>
          <w:szCs w:val="24"/>
        </w:rPr>
        <w:t>preenche os requisitos Regimentais que cumpre</w:t>
      </w:r>
      <w:r w:rsidR="00C03300">
        <w:rPr>
          <w:rFonts w:ascii="Arial" w:hAnsi="Arial" w:cs="Arial"/>
          <w:sz w:val="24"/>
          <w:szCs w:val="24"/>
        </w:rPr>
        <w:t>m</w:t>
      </w:r>
      <w:r w:rsidRPr="002B6A90">
        <w:rPr>
          <w:rFonts w:ascii="Arial" w:hAnsi="Arial" w:cs="Arial"/>
          <w:sz w:val="24"/>
          <w:szCs w:val="24"/>
        </w:rPr>
        <w:t xml:space="preserve"> analisar, </w:t>
      </w:r>
      <w:r>
        <w:rPr>
          <w:rFonts w:ascii="Arial" w:hAnsi="Arial" w:cs="Arial"/>
          <w:sz w:val="24"/>
          <w:szCs w:val="24"/>
        </w:rPr>
        <w:t xml:space="preserve">e </w:t>
      </w:r>
      <w:r w:rsidRPr="002B6A90">
        <w:rPr>
          <w:rFonts w:ascii="Arial" w:hAnsi="Arial" w:cs="Arial"/>
          <w:sz w:val="24"/>
          <w:szCs w:val="24"/>
        </w:rPr>
        <w:t>quanto ao mérito, a matéria merece ser discutida em Plenário</w:t>
      </w:r>
      <w:r w:rsidR="00BC30EC">
        <w:rPr>
          <w:rFonts w:ascii="Arial" w:hAnsi="Arial" w:cs="Arial"/>
          <w:sz w:val="24"/>
          <w:szCs w:val="24"/>
        </w:rPr>
        <w:t>.</w:t>
      </w:r>
      <w:r w:rsidR="00164E8E">
        <w:rPr>
          <w:rFonts w:ascii="Arial" w:hAnsi="Arial" w:cs="Arial"/>
          <w:sz w:val="24"/>
          <w:szCs w:val="24"/>
        </w:rPr>
        <w:t xml:space="preserve"> </w:t>
      </w:r>
    </w:p>
    <w:p w14:paraId="0849C8B1" w14:textId="77777777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11A4EBBF" w14:textId="0D1FA546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Sala das Comissões Permanentes da Câmara Municipal de Vereadores de Tunápolis,</w:t>
      </w:r>
      <w:r w:rsidR="006B1C78">
        <w:rPr>
          <w:rFonts w:ascii="Arial" w:eastAsiaTheme="minorHAnsi" w:hAnsi="Arial" w:cs="Arial"/>
          <w:sz w:val="24"/>
          <w:szCs w:val="24"/>
        </w:rPr>
        <w:t xml:space="preserve"> </w:t>
      </w:r>
      <w:r w:rsidR="006565CA">
        <w:rPr>
          <w:rFonts w:ascii="Arial" w:eastAsiaTheme="minorHAnsi" w:hAnsi="Arial" w:cs="Arial"/>
          <w:sz w:val="24"/>
          <w:szCs w:val="24"/>
        </w:rPr>
        <w:t>13</w:t>
      </w:r>
      <w:r w:rsidR="00A23CB7">
        <w:rPr>
          <w:rFonts w:ascii="Arial" w:eastAsiaTheme="minorHAnsi" w:hAnsi="Arial" w:cs="Arial"/>
          <w:sz w:val="24"/>
          <w:szCs w:val="24"/>
        </w:rPr>
        <w:t xml:space="preserve"> 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6565CA">
        <w:rPr>
          <w:rFonts w:ascii="Arial" w:eastAsiaTheme="minorHAnsi" w:hAnsi="Arial" w:cs="Arial"/>
          <w:sz w:val="24"/>
          <w:szCs w:val="24"/>
        </w:rPr>
        <w:t>Março</w:t>
      </w:r>
      <w:proofErr w:type="gramEnd"/>
      <w:r w:rsidR="00E633E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</w:t>
      </w:r>
      <w:r w:rsidR="007D7B06">
        <w:rPr>
          <w:rFonts w:ascii="Arial" w:eastAsiaTheme="minorHAnsi" w:hAnsi="Arial" w:cs="Arial"/>
          <w:sz w:val="24"/>
          <w:szCs w:val="24"/>
        </w:rPr>
        <w:t>6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p w14:paraId="7EF4AFC3" w14:textId="77777777" w:rsidR="00415C63" w:rsidRDefault="00415C63" w:rsidP="00465879">
      <w:pPr>
        <w:spacing w:after="0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0C07C095" w14:textId="77777777" w:rsidR="00415C63" w:rsidRDefault="00415C63" w:rsidP="00465879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Assinam:</w:t>
      </w:r>
    </w:p>
    <w:p w14:paraId="2073C79B" w14:textId="77777777" w:rsidR="00EF4CFC" w:rsidRDefault="00EF4CFC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D34E32C" w14:textId="77777777" w:rsidR="005F01FD" w:rsidRDefault="005F01FD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4BD56FC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793D0E8" w14:textId="68878D2C" w:rsidR="007D7B06" w:rsidRDefault="007D7B06" w:rsidP="007D7B0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LEANDRO BORTOLINI     HUGO BOHNENBERGER        LEOCADIA T. WELTER</w:t>
      </w:r>
    </w:p>
    <w:p w14:paraId="0CC23072" w14:textId="77777777" w:rsidR="007D7B06" w:rsidRPr="00DB6D50" w:rsidRDefault="007D7B06" w:rsidP="007D7B0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Presid. Comissão I                 Presid. Comissão II        Presid. Comissão III    </w:t>
      </w:r>
    </w:p>
    <w:p w14:paraId="275E0C96" w14:textId="77777777" w:rsidR="006B1C78" w:rsidRDefault="006B1C78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B88BEB1" w14:textId="77777777" w:rsidR="006B1C78" w:rsidRDefault="006B1C78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C8FB0C4" w14:textId="77777777" w:rsidR="006B1C78" w:rsidRDefault="006B1C78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BD967FD" w14:textId="77777777" w:rsidR="006B1C78" w:rsidRDefault="006B1C78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604C117" w14:textId="77777777" w:rsidR="00AD6C5B" w:rsidRDefault="00AD6C5B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B433E00" w14:textId="77777777" w:rsidR="00AD6C5B" w:rsidRDefault="00AD6C5B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2367B45" w14:textId="77777777" w:rsidR="00AD6C5B" w:rsidRDefault="00AD6C5B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23CCBD1" w14:textId="77777777" w:rsidR="00AD6C5B" w:rsidRDefault="00AD6C5B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8292FA1" w14:textId="77777777" w:rsidR="00AD6C5B" w:rsidRDefault="00AD6C5B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F4F4A84" w14:textId="77777777" w:rsidR="00AD6C5B" w:rsidRDefault="00AD6C5B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7BB227D" w14:textId="77777777" w:rsidR="00F07175" w:rsidRDefault="00F07175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EE51F9F" w14:textId="4E65D9CB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06FAC37F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D2AA378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D60F3E9" w14:textId="77777777" w:rsidR="00EE67C3" w:rsidRDefault="00EE67C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47CE259C" w14:textId="7543996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Final.</w:t>
      </w:r>
    </w:p>
    <w:p w14:paraId="4A85A48B" w14:textId="7777777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Município.</w:t>
      </w:r>
    </w:p>
    <w:p w14:paraId="04063E4B" w14:textId="77777777" w:rsidR="00415C63" w:rsidRDefault="00415C63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</w:p>
    <w:p w14:paraId="7E9075E5" w14:textId="77777777" w:rsidR="00FE298E" w:rsidRDefault="00FE298E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</w:p>
    <w:p w14:paraId="7C274F20" w14:textId="77777777" w:rsidR="004C3993" w:rsidRDefault="004C3993" w:rsidP="004C3993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44D1DE9E" w14:textId="1E674DFB" w:rsidR="004C3993" w:rsidRPr="004C3993" w:rsidRDefault="004C3993" w:rsidP="004C3993">
      <w:pPr>
        <w:tabs>
          <w:tab w:val="left" w:pos="8504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C3993">
        <w:rPr>
          <w:rFonts w:ascii="Arial" w:hAnsi="Arial" w:cs="Arial"/>
          <w:sz w:val="24"/>
          <w:szCs w:val="24"/>
        </w:rPr>
        <w:t xml:space="preserve">- Projeto de Lei nº 07/2026, que </w:t>
      </w:r>
      <w:r w:rsidRPr="004C3993">
        <w:rPr>
          <w:rFonts w:ascii="Arial" w:hAnsi="Arial" w:cs="Arial"/>
          <w:i/>
          <w:iCs/>
          <w:sz w:val="24"/>
          <w:szCs w:val="24"/>
        </w:rPr>
        <w:t xml:space="preserve">“Dá nova redação ao </w:t>
      </w:r>
      <w:r w:rsidRPr="004C3993">
        <w:rPr>
          <w:rFonts w:ascii="Arial" w:hAnsi="Arial" w:cs="Arial"/>
          <w:b/>
          <w:bCs/>
          <w:i/>
          <w:iCs/>
          <w:sz w:val="24"/>
          <w:szCs w:val="24"/>
        </w:rPr>
        <w:t xml:space="preserve">Anexo II, letra A, C, e D, Anexo IV e V, </w:t>
      </w:r>
      <w:r w:rsidRPr="004C3993">
        <w:rPr>
          <w:rFonts w:ascii="Arial" w:hAnsi="Arial" w:cs="Arial"/>
          <w:i/>
          <w:iCs/>
          <w:sz w:val="24"/>
          <w:szCs w:val="24"/>
        </w:rPr>
        <w:t>da Lei Complementar nº 080, de 07 de maio de 2025, que dispõe sobre o Plano de Cargos, Carreira e Remuneração de Pessoal da Administração Pública do Município de Tunápolis, Estado de Santa Catarina e contém outras providências”.</w:t>
      </w:r>
    </w:p>
    <w:p w14:paraId="120B89AF" w14:textId="77777777" w:rsidR="00AD6C5B" w:rsidRDefault="00AD6C5B" w:rsidP="00415C63">
      <w:pPr>
        <w:tabs>
          <w:tab w:val="left" w:pos="8504"/>
        </w:tabs>
        <w:spacing w:after="0" w:line="240" w:lineRule="auto"/>
        <w:ind w:right="-1"/>
        <w:rPr>
          <w:rFonts w:ascii="Arial" w:eastAsia="Calibri" w:hAnsi="Arial" w:cs="Arial"/>
          <w:sz w:val="24"/>
        </w:rPr>
      </w:pPr>
    </w:p>
    <w:p w14:paraId="27F0133D" w14:textId="77777777" w:rsidR="00AD6C5B" w:rsidRDefault="00AD6C5B" w:rsidP="00415C63">
      <w:pPr>
        <w:tabs>
          <w:tab w:val="left" w:pos="8504"/>
        </w:tabs>
        <w:spacing w:after="0" w:line="240" w:lineRule="auto"/>
        <w:ind w:right="-1"/>
        <w:rPr>
          <w:rFonts w:ascii="Arial" w:eastAsia="Calibri" w:hAnsi="Arial" w:cs="Arial"/>
          <w:sz w:val="24"/>
        </w:rPr>
      </w:pPr>
    </w:p>
    <w:p w14:paraId="577708B3" w14:textId="5FADC1C9" w:rsidR="00415C63" w:rsidRPr="00706F84" w:rsidRDefault="00415C63" w:rsidP="00415C63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>Posição sobre o Parecer do relator em relação à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matéria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200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826"/>
      </w:tblGrid>
      <w:tr w:rsidR="00415C63" w14:paraId="423ACE55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AA7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Vereador/Membro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8B51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75B1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15C63" w14:paraId="79C86F7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A7435" w14:textId="3F703E85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ADILSON P. BORBA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91395" w14:textId="21E8504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11E69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6FBDD6D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939D2" w14:textId="1A435346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BDE11" w14:textId="685C6BFD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3158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4CA2B85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837DE" w14:textId="57E3D4DF" w:rsidR="00415C63" w:rsidRDefault="007D7B06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HUGO BOHNENBERGER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4355C" w14:textId="3CA7AB9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FF1F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35374EE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6EE79" w14:textId="730C0665" w:rsidR="00415C63" w:rsidRDefault="007D7B06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LAURICIO NICODEM</w:t>
            </w:r>
            <w:r w:rsidR="0046587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75E03" w14:textId="076EA22A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E92EC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2D88BC64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B1F0E" w14:textId="6264BA31" w:rsidR="00C434EC" w:rsidRDefault="007D7B06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LEANDRO BORTOLINI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330D4" w14:textId="3A4FE4B9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51F90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0ED4B1C3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02370" w14:textId="3C148BB6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C7B19" w14:textId="2606614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B27DA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44DEFE9B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437F8" w14:textId="3A030BCB" w:rsidR="00C434EC" w:rsidRDefault="0098536E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LIANE JACINTA 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</w:rPr>
              <w:t>F.HECK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3EC6C" w14:textId="5DCEB2FD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1E871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23CB7" w14:paraId="7AFACD9D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BC719" w14:textId="17819C18" w:rsidR="00A23CB7" w:rsidRDefault="007D7B06" w:rsidP="004117A7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ALOÍSIO JOSÉ LEHMEN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1B505" w14:textId="5DB577B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A375D" w14:textId="7777777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9DA6C0E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EA3E93" w14:textId="2B900595" w:rsidR="003E7B0F" w:rsidRDefault="00415C63" w:rsidP="00C33A8F">
      <w:pPr>
        <w:spacing w:after="0" w:line="240" w:lineRule="auto"/>
        <w:jc w:val="both"/>
      </w:pPr>
      <w:r>
        <w:rPr>
          <w:rFonts w:ascii="Arial" w:eastAsiaTheme="minorHAnsi" w:hAnsi="Arial" w:cs="Arial"/>
          <w:sz w:val="24"/>
          <w:szCs w:val="24"/>
        </w:rPr>
        <w:t xml:space="preserve">Reunião </w:t>
      </w:r>
      <w:r w:rsidR="00EF4CFC">
        <w:rPr>
          <w:rFonts w:ascii="Arial" w:eastAsiaTheme="minorHAnsi" w:hAnsi="Arial" w:cs="Arial"/>
          <w:sz w:val="24"/>
          <w:szCs w:val="24"/>
        </w:rPr>
        <w:t>Ordinária</w:t>
      </w:r>
      <w:r>
        <w:rPr>
          <w:rFonts w:ascii="Arial" w:eastAsiaTheme="minorHAnsi" w:hAnsi="Arial" w:cs="Arial"/>
          <w:sz w:val="24"/>
          <w:szCs w:val="24"/>
        </w:rPr>
        <w:t xml:space="preserve"> realizada no </w:t>
      </w:r>
      <w:r w:rsidR="006565CA">
        <w:rPr>
          <w:rFonts w:ascii="Arial" w:eastAsiaTheme="minorHAnsi" w:hAnsi="Arial" w:cs="Arial"/>
          <w:sz w:val="24"/>
          <w:szCs w:val="24"/>
        </w:rPr>
        <w:t>13</w:t>
      </w:r>
      <w:r w:rsidR="002464AB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</w:t>
      </w:r>
      <w:r w:rsidR="007D7B06">
        <w:rPr>
          <w:rFonts w:ascii="Arial" w:eastAsiaTheme="minorHAnsi" w:hAnsi="Arial" w:cs="Arial"/>
          <w:sz w:val="24"/>
          <w:szCs w:val="24"/>
        </w:rPr>
        <w:t xml:space="preserve"> </w:t>
      </w:r>
      <w:r w:rsidR="006565CA">
        <w:rPr>
          <w:rFonts w:ascii="Arial" w:eastAsiaTheme="minorHAnsi" w:hAnsi="Arial" w:cs="Arial"/>
          <w:sz w:val="24"/>
          <w:szCs w:val="24"/>
        </w:rPr>
        <w:t xml:space="preserve">março </w:t>
      </w:r>
      <w:r w:rsidR="00A23CB7">
        <w:rPr>
          <w:rFonts w:ascii="Arial" w:eastAsiaTheme="minorHAnsi" w:hAnsi="Arial" w:cs="Arial"/>
          <w:sz w:val="24"/>
          <w:szCs w:val="24"/>
        </w:rPr>
        <w:t>de 202</w:t>
      </w:r>
      <w:r w:rsidR="007D7B06">
        <w:rPr>
          <w:rFonts w:ascii="Arial" w:eastAsiaTheme="minorHAnsi" w:hAnsi="Arial" w:cs="Arial"/>
          <w:sz w:val="24"/>
          <w:szCs w:val="24"/>
        </w:rPr>
        <w:t>6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sectPr w:rsidR="003E7B0F" w:rsidSect="00D93BE6">
      <w:pgSz w:w="11906" w:h="16838"/>
      <w:pgMar w:top="99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63"/>
    <w:rsid w:val="00007C02"/>
    <w:rsid w:val="000202BE"/>
    <w:rsid w:val="0002486C"/>
    <w:rsid w:val="0003375B"/>
    <w:rsid w:val="00063354"/>
    <w:rsid w:val="000767FA"/>
    <w:rsid w:val="00076934"/>
    <w:rsid w:val="000774FD"/>
    <w:rsid w:val="00090901"/>
    <w:rsid w:val="000948F7"/>
    <w:rsid w:val="000A1826"/>
    <w:rsid w:val="000C09C7"/>
    <w:rsid w:val="000C214E"/>
    <w:rsid w:val="001015E3"/>
    <w:rsid w:val="001154F4"/>
    <w:rsid w:val="0013118A"/>
    <w:rsid w:val="00164E8E"/>
    <w:rsid w:val="00190006"/>
    <w:rsid w:val="002070D3"/>
    <w:rsid w:val="00231AC2"/>
    <w:rsid w:val="002427D1"/>
    <w:rsid w:val="002464AB"/>
    <w:rsid w:val="0025590D"/>
    <w:rsid w:val="002663E8"/>
    <w:rsid w:val="00273AE8"/>
    <w:rsid w:val="0029032A"/>
    <w:rsid w:val="002A3902"/>
    <w:rsid w:val="002E7868"/>
    <w:rsid w:val="00301233"/>
    <w:rsid w:val="00306B1F"/>
    <w:rsid w:val="00307B87"/>
    <w:rsid w:val="00314877"/>
    <w:rsid w:val="003850BF"/>
    <w:rsid w:val="003A44BC"/>
    <w:rsid w:val="003A788F"/>
    <w:rsid w:val="003E7B0F"/>
    <w:rsid w:val="00404837"/>
    <w:rsid w:val="004117A7"/>
    <w:rsid w:val="00415C63"/>
    <w:rsid w:val="00463306"/>
    <w:rsid w:val="00465879"/>
    <w:rsid w:val="00485609"/>
    <w:rsid w:val="00486512"/>
    <w:rsid w:val="004C3993"/>
    <w:rsid w:val="004C7DBA"/>
    <w:rsid w:val="004E2C05"/>
    <w:rsid w:val="004E2E52"/>
    <w:rsid w:val="004E3BC9"/>
    <w:rsid w:val="005130EA"/>
    <w:rsid w:val="005132EE"/>
    <w:rsid w:val="00515B46"/>
    <w:rsid w:val="00520A92"/>
    <w:rsid w:val="00544F46"/>
    <w:rsid w:val="0055548C"/>
    <w:rsid w:val="00556683"/>
    <w:rsid w:val="00565D19"/>
    <w:rsid w:val="00572868"/>
    <w:rsid w:val="00577317"/>
    <w:rsid w:val="005A0637"/>
    <w:rsid w:val="005C2187"/>
    <w:rsid w:val="005F01FD"/>
    <w:rsid w:val="00601C4B"/>
    <w:rsid w:val="0060721F"/>
    <w:rsid w:val="0064349E"/>
    <w:rsid w:val="006565CA"/>
    <w:rsid w:val="00695523"/>
    <w:rsid w:val="006B1C78"/>
    <w:rsid w:val="006B2640"/>
    <w:rsid w:val="0071239D"/>
    <w:rsid w:val="0074399E"/>
    <w:rsid w:val="00797B72"/>
    <w:rsid w:val="007B737A"/>
    <w:rsid w:val="007C316B"/>
    <w:rsid w:val="007C4356"/>
    <w:rsid w:val="007C61BA"/>
    <w:rsid w:val="007D7B06"/>
    <w:rsid w:val="007F0ED9"/>
    <w:rsid w:val="008535B4"/>
    <w:rsid w:val="008736AF"/>
    <w:rsid w:val="008750A4"/>
    <w:rsid w:val="008A55BF"/>
    <w:rsid w:val="008B465B"/>
    <w:rsid w:val="008C450F"/>
    <w:rsid w:val="008D5ED1"/>
    <w:rsid w:val="008E39C5"/>
    <w:rsid w:val="008F375A"/>
    <w:rsid w:val="00917A97"/>
    <w:rsid w:val="009304D0"/>
    <w:rsid w:val="00950D6F"/>
    <w:rsid w:val="009712AA"/>
    <w:rsid w:val="00973634"/>
    <w:rsid w:val="0098536E"/>
    <w:rsid w:val="009C3FD8"/>
    <w:rsid w:val="009C4716"/>
    <w:rsid w:val="009C65DC"/>
    <w:rsid w:val="009F338F"/>
    <w:rsid w:val="00A23CB7"/>
    <w:rsid w:val="00A35B77"/>
    <w:rsid w:val="00A40A78"/>
    <w:rsid w:val="00A7404D"/>
    <w:rsid w:val="00AA3C13"/>
    <w:rsid w:val="00AA72D0"/>
    <w:rsid w:val="00AD057C"/>
    <w:rsid w:val="00AD6C5B"/>
    <w:rsid w:val="00AE047C"/>
    <w:rsid w:val="00AE2F23"/>
    <w:rsid w:val="00B06DB8"/>
    <w:rsid w:val="00B16CD5"/>
    <w:rsid w:val="00B45521"/>
    <w:rsid w:val="00B90DF2"/>
    <w:rsid w:val="00B96306"/>
    <w:rsid w:val="00BA31E9"/>
    <w:rsid w:val="00BA76E9"/>
    <w:rsid w:val="00BB0187"/>
    <w:rsid w:val="00BC276B"/>
    <w:rsid w:val="00BC30EC"/>
    <w:rsid w:val="00BC78CE"/>
    <w:rsid w:val="00C03300"/>
    <w:rsid w:val="00C129B6"/>
    <w:rsid w:val="00C258CB"/>
    <w:rsid w:val="00C33A8F"/>
    <w:rsid w:val="00C41DE9"/>
    <w:rsid w:val="00C434EC"/>
    <w:rsid w:val="00C608F1"/>
    <w:rsid w:val="00CF0C40"/>
    <w:rsid w:val="00CF7F77"/>
    <w:rsid w:val="00D44264"/>
    <w:rsid w:val="00D453A8"/>
    <w:rsid w:val="00D56CD7"/>
    <w:rsid w:val="00D93BE6"/>
    <w:rsid w:val="00DA4058"/>
    <w:rsid w:val="00DC1737"/>
    <w:rsid w:val="00DC62B3"/>
    <w:rsid w:val="00DD10B7"/>
    <w:rsid w:val="00DD3EC2"/>
    <w:rsid w:val="00DE3F69"/>
    <w:rsid w:val="00E4572D"/>
    <w:rsid w:val="00E633EE"/>
    <w:rsid w:val="00E72726"/>
    <w:rsid w:val="00EA3C78"/>
    <w:rsid w:val="00EE4DE2"/>
    <w:rsid w:val="00EE67C3"/>
    <w:rsid w:val="00EF136C"/>
    <w:rsid w:val="00EF195E"/>
    <w:rsid w:val="00EF4CFC"/>
    <w:rsid w:val="00F05787"/>
    <w:rsid w:val="00F07175"/>
    <w:rsid w:val="00F46FA5"/>
    <w:rsid w:val="00F76852"/>
    <w:rsid w:val="00F76A39"/>
    <w:rsid w:val="00F932AD"/>
    <w:rsid w:val="00FA0782"/>
    <w:rsid w:val="00FB5F68"/>
    <w:rsid w:val="00FC3D12"/>
    <w:rsid w:val="00FC65C9"/>
    <w:rsid w:val="00FE298E"/>
    <w:rsid w:val="00FE449A"/>
    <w:rsid w:val="00FE7005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42FC"/>
  <w15:chartTrackingRefBased/>
  <w15:docId w15:val="{30F8E711-5D20-4ADE-87DF-F79D7D6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5B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5C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2026-03-13T11:23:00Z</cp:lastPrinted>
  <dcterms:created xsi:type="dcterms:W3CDTF">2026-02-23T16:36:00Z</dcterms:created>
  <dcterms:modified xsi:type="dcterms:W3CDTF">2026-03-13T11:23:00Z</dcterms:modified>
</cp:coreProperties>
</file>