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8888B5E" w14:textId="74EE6179" w:rsidR="00CD549E" w:rsidRDefault="00D108D5" w:rsidP="00D10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F084F">
        <w:rPr>
          <w:rFonts w:ascii="Arial" w:hAnsi="Arial" w:cs="Arial"/>
          <w:sz w:val="24"/>
          <w:szCs w:val="24"/>
        </w:rPr>
        <w:t>Projeto de Lei nº 03/2025 que “Altera a Lei 1.380, de 20 de dezembro de 2018, que autoriza o poder executivo a dispor sobre a concessão mensal de vale-alimentação por dia trabalhado aos servidores públicos ativos da administração pública do Município de Tunápolis e adota outras providências”.</w:t>
      </w:r>
    </w:p>
    <w:p w14:paraId="74292F90" w14:textId="77777777" w:rsidR="00D108D5" w:rsidRDefault="00D108D5" w:rsidP="00D108D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7E96F1F0" w14:textId="56A9BA43" w:rsidR="00D108D5" w:rsidRDefault="00D108D5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 w:rsidRPr="00D108D5">
        <w:rPr>
          <w:rFonts w:ascii="Arial" w:eastAsiaTheme="minorHAnsi" w:hAnsi="Arial" w:cs="Arial"/>
          <w:sz w:val="24"/>
          <w:szCs w:val="24"/>
        </w:rPr>
        <w:t xml:space="preserve">Conforme apontado pelo parecer da assessoria jurídica, </w:t>
      </w:r>
      <w:r>
        <w:rPr>
          <w:rFonts w:ascii="Arial" w:eastAsiaTheme="minorHAnsi" w:hAnsi="Arial" w:cs="Arial"/>
          <w:sz w:val="24"/>
          <w:szCs w:val="24"/>
        </w:rPr>
        <w:t xml:space="preserve">entende-se </w:t>
      </w:r>
      <w:r w:rsidRPr="00D108D5">
        <w:rPr>
          <w:rFonts w:ascii="Arial" w:eastAsiaTheme="minorHAnsi" w:hAnsi="Arial" w:cs="Arial"/>
          <w:sz w:val="24"/>
          <w:szCs w:val="24"/>
        </w:rPr>
        <w:t>por ser necessário a adaptação da</w:t>
      </w:r>
      <w:r>
        <w:rPr>
          <w:rFonts w:ascii="Arial" w:eastAsiaTheme="minorHAnsi" w:hAnsi="Arial" w:cs="Arial"/>
          <w:sz w:val="24"/>
          <w:szCs w:val="24"/>
        </w:rPr>
        <w:t xml:space="preserve"> redação</w:t>
      </w:r>
      <w:r w:rsidRPr="00D108D5">
        <w:rPr>
          <w:rFonts w:ascii="Arial" w:eastAsiaTheme="minorHAnsi" w:hAnsi="Arial" w:cs="Arial"/>
          <w:sz w:val="24"/>
          <w:szCs w:val="24"/>
        </w:rPr>
        <w:t>, com o objetivo de tornar o texto mais claro</w:t>
      </w:r>
      <w:r>
        <w:rPr>
          <w:rFonts w:ascii="Arial" w:eastAsiaTheme="minorHAnsi" w:hAnsi="Arial" w:cs="Arial"/>
          <w:sz w:val="24"/>
          <w:szCs w:val="24"/>
        </w:rPr>
        <w:t>:</w:t>
      </w:r>
    </w:p>
    <w:tbl>
      <w:tblPr>
        <w:tblStyle w:val="Tabelacomgrade"/>
        <w:tblpPr w:leftFromText="141" w:rightFromText="141" w:vertAnchor="text" w:horzAnchor="margin" w:tblpXSpec="center" w:tblpY="274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F52798" w:rsidRPr="003E198D" w14:paraId="46C8D106" w14:textId="77777777" w:rsidTr="00455CED">
        <w:trPr>
          <w:trHeight w:val="461"/>
        </w:trPr>
        <w:tc>
          <w:tcPr>
            <w:tcW w:w="4106" w:type="dxa"/>
            <w:vAlign w:val="center"/>
          </w:tcPr>
          <w:p w14:paraId="04BEAC75" w14:textId="77777777" w:rsidR="00F52798" w:rsidRPr="003E198D" w:rsidRDefault="00F52798" w:rsidP="00455CED">
            <w:pPr>
              <w:jc w:val="center"/>
              <w:rPr>
                <w:rFonts w:ascii="Arial" w:eastAsia="Times New Roman" w:hAnsi="Arial" w:cs="Arial"/>
              </w:rPr>
            </w:pPr>
            <w:r w:rsidRPr="003E198D">
              <w:rPr>
                <w:rFonts w:ascii="Arial" w:eastAsia="Times New Roman" w:hAnsi="Arial" w:cs="Arial"/>
              </w:rPr>
              <w:t>Onde estava escrito:</w:t>
            </w:r>
          </w:p>
        </w:tc>
        <w:tc>
          <w:tcPr>
            <w:tcW w:w="4820" w:type="dxa"/>
            <w:vAlign w:val="center"/>
          </w:tcPr>
          <w:p w14:paraId="21EAC65E" w14:textId="77777777" w:rsidR="00F52798" w:rsidRPr="003E198D" w:rsidRDefault="00F52798" w:rsidP="00455CED">
            <w:pPr>
              <w:jc w:val="center"/>
              <w:rPr>
                <w:rFonts w:ascii="Arial" w:eastAsia="Times New Roman" w:hAnsi="Arial" w:cs="Arial"/>
              </w:rPr>
            </w:pPr>
            <w:r w:rsidRPr="003E198D">
              <w:rPr>
                <w:rFonts w:ascii="Arial" w:eastAsia="Times New Roman" w:hAnsi="Arial" w:cs="Arial"/>
              </w:rPr>
              <w:t>Altera-se para:</w:t>
            </w:r>
          </w:p>
        </w:tc>
      </w:tr>
      <w:tr w:rsidR="00F52798" w:rsidRPr="003E198D" w14:paraId="57D87FCF" w14:textId="77777777" w:rsidTr="00F52798">
        <w:trPr>
          <w:trHeight w:val="841"/>
        </w:trPr>
        <w:tc>
          <w:tcPr>
            <w:tcW w:w="4106" w:type="dxa"/>
            <w:vAlign w:val="center"/>
          </w:tcPr>
          <w:p w14:paraId="2107BAF5" w14:textId="77777777" w:rsidR="00F52798" w:rsidRPr="00D91DC9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“Art. 2º O Vale-Alimentação tem caráter indenizatório e transitório, e será através de cartão magnético, e deverá ser utilizado exclusivamente para a compra de alimentos, sendo vedada a compra de bebidas alcoólicas e cigarros.</w:t>
            </w:r>
          </w:p>
          <w:p w14:paraId="409C126F" w14:textId="77777777" w:rsidR="00F52798" w:rsidRPr="00D91DC9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§ 1º O valor do Vale-Alimentação será de R$ 20,00 (vinte reais), por dia efetivamente trabalhado (exceto quando estiver faltando ao serviço para a compensação de horas extras) e corresponde à carga horária semanal de quarenta horas, sendo reduzido proporcionalmente para as cargas horárias semanais inferiores.</w:t>
            </w:r>
          </w:p>
          <w:p w14:paraId="3E7C0677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§ 2º O valor do Vale-Alimentação terá reajuste anual pelo mesmo índice e período, quando o ato do Executivo Municipal conceder a revisão salarial anual aos servidores públicos, tendo como novo reajuste somente em janeiro de 2026.</w:t>
            </w:r>
          </w:p>
        </w:tc>
        <w:tc>
          <w:tcPr>
            <w:tcW w:w="4820" w:type="dxa"/>
            <w:vAlign w:val="center"/>
          </w:tcPr>
          <w:p w14:paraId="3710CA6A" w14:textId="77777777" w:rsidR="00F52798" w:rsidRPr="003E198D" w:rsidRDefault="00F52798" w:rsidP="00455CED">
            <w:pPr>
              <w:spacing w:before="4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“Art. 2º O Vale-Alimentação tem caráter indenizatório e transitório, devendo ser utilizado exclusivamente para a compra de alimentos, através de cartão magnético, sendo vedada a compra de bebidas alcoólicas e cigarros.</w:t>
            </w:r>
          </w:p>
          <w:p w14:paraId="1A320D6A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396B3C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§ 1º O valor do Vale-Alimentação será de R$ 20,00 (vinte reais), para a carga horária semanal de quarenta horas, sendo calculado por dia efetivamente trabalhado e reduzido proporcionalmente para as cargas horárias semanais inferiores.</w:t>
            </w:r>
          </w:p>
          <w:p w14:paraId="6ED39A76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6D98D83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§ 2º Não será considerada falta para fins de cálculo do Vale-alimentação os dias que o servidor se ausentou em razão da compensação de horas excedentes.</w:t>
            </w:r>
          </w:p>
          <w:p w14:paraId="2316C31E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481849" w14:textId="77777777" w:rsidR="00F52798" w:rsidRPr="003E198D" w:rsidRDefault="00F52798" w:rsidP="00455C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 xml:space="preserve">§ 3º O valor do Vale-Alimentação terá reajuste anual pelo mesmo índice e período, quando o ato do </w:t>
            </w:r>
            <w:r w:rsidRPr="003E198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Executivo Municipal conceder a revisão salarial anual aos servidores públicos, tendo como novo reajuste somente em janeiro de 2026.</w:t>
            </w:r>
          </w:p>
        </w:tc>
      </w:tr>
    </w:tbl>
    <w:p w14:paraId="5035BB47" w14:textId="77777777" w:rsidR="00D108D5" w:rsidRDefault="00D108D5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59AAAE3" w14:textId="3A610A01" w:rsidR="002E42A2" w:rsidRDefault="00D108D5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 w:rsidRPr="00D108D5">
        <w:rPr>
          <w:rFonts w:ascii="Arial" w:eastAsiaTheme="minorHAnsi" w:hAnsi="Arial" w:cs="Arial"/>
          <w:sz w:val="24"/>
          <w:szCs w:val="24"/>
        </w:rPr>
        <w:t xml:space="preserve"> Outrossim, o projeto de lei não viola qualquer regra ou princípio fixado pela legislação vigente, </w:t>
      </w:r>
      <w:r>
        <w:rPr>
          <w:rFonts w:ascii="Arial" w:eastAsiaTheme="minorHAnsi" w:hAnsi="Arial" w:cs="Arial"/>
          <w:sz w:val="24"/>
          <w:szCs w:val="24"/>
        </w:rPr>
        <w:t xml:space="preserve">e preenche os requisitos regimentais que cumprem analisar, </w:t>
      </w:r>
      <w:r w:rsidRPr="00D108D5">
        <w:rPr>
          <w:rFonts w:ascii="Arial" w:eastAsiaTheme="minorHAnsi" w:hAnsi="Arial" w:cs="Arial"/>
          <w:sz w:val="24"/>
          <w:szCs w:val="24"/>
        </w:rPr>
        <w:t>portanto está apto para ser deliberado em plenário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244862E7" w14:textId="4BC76B7D" w:rsidR="00E02783" w:rsidRDefault="00D108D5" w:rsidP="00D108D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262640DE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D108D5">
        <w:rPr>
          <w:rFonts w:ascii="Arial" w:eastAsiaTheme="minorHAnsi" w:hAnsi="Arial" w:cs="Arial"/>
          <w:sz w:val="24"/>
          <w:szCs w:val="24"/>
        </w:rPr>
        <w:t>31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r w:rsidR="006A2E17">
        <w:rPr>
          <w:rFonts w:ascii="Arial" w:eastAsiaTheme="minorHAnsi" w:hAnsi="Arial" w:cs="Arial"/>
          <w:sz w:val="24"/>
          <w:szCs w:val="24"/>
        </w:rPr>
        <w:t>janeiro</w:t>
      </w:r>
      <w:r w:rsidR="00D93FAE">
        <w:rPr>
          <w:rFonts w:ascii="Arial" w:eastAsiaTheme="minorHAnsi" w:hAnsi="Arial" w:cs="Arial"/>
          <w:sz w:val="24"/>
          <w:szCs w:val="24"/>
        </w:rPr>
        <w:t xml:space="preserve"> 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0136754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782A20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C2A487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F29BBA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6DFFA5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239E3D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8DBFD66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0F958C1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5CEB30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A05E192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07F42CD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8969B37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783D13C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91A983F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087F48E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B38AA1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A1C203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AB1418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ADCEEA3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98C78B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F7BCDB8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DB2967B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A4D955D" w14:textId="77777777" w:rsidR="00F52798" w:rsidRDefault="00F5279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DCFF93" w14:textId="77777777" w:rsidR="00F52798" w:rsidRDefault="00F5279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DC84911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ED66CB2" w14:textId="77777777" w:rsidR="00D108D5" w:rsidRDefault="00D108D5" w:rsidP="00D10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F084F">
        <w:rPr>
          <w:rFonts w:ascii="Arial" w:hAnsi="Arial" w:cs="Arial"/>
          <w:sz w:val="24"/>
          <w:szCs w:val="24"/>
        </w:rPr>
        <w:t>Projeto de Lei nº 03/2025 que “Altera a Lei 1.380, de 20 de dezembro de 2018, que autoriza o poder executivo a dispor sobre a concessão mensal de vale-alimentação por dia trabalhado aos servidores públicos ativos da administração pública do Município de Tunápolis e adota outras providências”.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913D193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4E051C3F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NICODEM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1821ED6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D108D5">
        <w:rPr>
          <w:rFonts w:ascii="Arial" w:eastAsiaTheme="minorHAnsi" w:hAnsi="Arial" w:cs="Arial"/>
          <w:sz w:val="24"/>
          <w:szCs w:val="24"/>
        </w:rPr>
        <w:t>31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6A2E17">
        <w:rPr>
          <w:rFonts w:ascii="Arial" w:eastAsiaTheme="minorHAnsi" w:hAnsi="Arial" w:cs="Arial"/>
          <w:sz w:val="24"/>
          <w:szCs w:val="24"/>
        </w:rPr>
        <w:t>Janeiro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108D5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2025-01-31T20:07:00Z</cp:lastPrinted>
  <dcterms:created xsi:type="dcterms:W3CDTF">2025-01-31T17:41:00Z</dcterms:created>
  <dcterms:modified xsi:type="dcterms:W3CDTF">2025-01-31T20:07:00Z</dcterms:modified>
</cp:coreProperties>
</file>