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465B142B" w:rsidR="006F7993" w:rsidRDefault="0076230D" w:rsidP="00D92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B602B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B602BD">
        <w:rPr>
          <w:rFonts w:ascii="Arial" w:hAnsi="Arial" w:cs="Arial"/>
          <w:sz w:val="24"/>
          <w:szCs w:val="24"/>
        </w:rPr>
        <w:t>26</w:t>
      </w:r>
      <w:r w:rsidR="00751669">
        <w:rPr>
          <w:rFonts w:ascii="Arial" w:hAnsi="Arial" w:cs="Arial"/>
          <w:sz w:val="24"/>
          <w:szCs w:val="24"/>
        </w:rPr>
        <w:t>/0</w:t>
      </w:r>
      <w:r w:rsidR="00B602BD">
        <w:rPr>
          <w:rFonts w:ascii="Arial" w:hAnsi="Arial" w:cs="Arial"/>
          <w:sz w:val="24"/>
          <w:szCs w:val="24"/>
        </w:rPr>
        <w:t>5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B602BD">
        <w:rPr>
          <w:rFonts w:ascii="Arial" w:hAnsi="Arial" w:cs="Arial"/>
          <w:sz w:val="24"/>
          <w:szCs w:val="24"/>
        </w:rPr>
        <w:t>vinte e seis</w:t>
      </w:r>
      <w:r w:rsidR="00D928EB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B602BD">
        <w:rPr>
          <w:rFonts w:ascii="Arial" w:hAnsi="Arial" w:cs="Arial"/>
          <w:sz w:val="24"/>
          <w:szCs w:val="24"/>
        </w:rPr>
        <w:t>maio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dezoito horas e </w:t>
      </w:r>
      <w:r w:rsidR="00B602BD">
        <w:rPr>
          <w:rFonts w:ascii="Arial" w:hAnsi="Arial" w:cs="Arial"/>
          <w:sz w:val="24"/>
          <w:szCs w:val="24"/>
        </w:rPr>
        <w:t>quarenta e cinco</w:t>
      </w:r>
      <w:r w:rsidR="00ED6187">
        <w:rPr>
          <w:rFonts w:ascii="Arial" w:hAnsi="Arial" w:cs="Arial"/>
          <w:sz w:val="24"/>
          <w:szCs w:val="24"/>
        </w:rPr>
        <w:t xml:space="preserve"> 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D42E13">
        <w:rPr>
          <w:rFonts w:ascii="Arial" w:hAnsi="Arial" w:cs="Arial"/>
          <w:sz w:val="24"/>
          <w:szCs w:val="24"/>
        </w:rPr>
        <w:t xml:space="preserve"> </w:t>
      </w:r>
      <w:r w:rsidR="00B602BD">
        <w:rPr>
          <w:rFonts w:ascii="Arial" w:hAnsi="Arial" w:cs="Arial"/>
          <w:sz w:val="24"/>
          <w:szCs w:val="24"/>
        </w:rPr>
        <w:t>decima nona</w:t>
      </w:r>
      <w:r w:rsidR="00ED6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B602BD">
        <w:rPr>
          <w:rFonts w:ascii="Arial" w:hAnsi="Arial" w:cs="Arial"/>
          <w:sz w:val="24"/>
          <w:szCs w:val="24"/>
        </w:rPr>
        <w:t xml:space="preserve"> Projeto de Lei </w:t>
      </w:r>
      <w:r w:rsidR="00B602BD" w:rsidRPr="00B602BD">
        <w:rPr>
          <w:rFonts w:ascii="Arial" w:hAnsi="Arial" w:cs="Arial"/>
          <w:sz w:val="24"/>
          <w:szCs w:val="24"/>
        </w:rPr>
        <w:t>nº 21/2025 que “Institui e autoriza a cobrança de contribuição de melhoria em decorrência de obra pública de urbanização, conforme especifica, e dá outras providências”</w:t>
      </w:r>
      <w:r w:rsidR="00D928EB" w:rsidRPr="00D928EB">
        <w:rPr>
          <w:rFonts w:ascii="Arial" w:hAnsi="Arial" w:cs="Arial"/>
          <w:sz w:val="24"/>
          <w:szCs w:val="24"/>
        </w:rPr>
        <w:t>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D928EB">
        <w:rPr>
          <w:rFonts w:ascii="Arial" w:hAnsi="Arial" w:cs="Arial"/>
          <w:sz w:val="24"/>
          <w:szCs w:val="24"/>
        </w:rPr>
        <w:t xml:space="preserve"> Havendo a necessidade de </w:t>
      </w:r>
      <w:r w:rsidR="00B602BD">
        <w:rPr>
          <w:rFonts w:ascii="Arial" w:hAnsi="Arial" w:cs="Arial"/>
          <w:sz w:val="24"/>
          <w:szCs w:val="24"/>
        </w:rPr>
        <w:t>correções</w:t>
      </w:r>
      <w:r w:rsidR="00D928EB">
        <w:rPr>
          <w:rFonts w:ascii="Arial" w:hAnsi="Arial" w:cs="Arial"/>
          <w:sz w:val="24"/>
          <w:szCs w:val="24"/>
        </w:rPr>
        <w:t xml:space="preserve"> na redação, conforme apontado no parecer jurídico, a comissão deliberou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D928EB">
        <w:rPr>
          <w:rFonts w:ascii="Arial" w:hAnsi="Arial" w:cs="Arial"/>
          <w:sz w:val="24"/>
          <w:szCs w:val="24"/>
        </w:rPr>
        <w:t>e definiu</w:t>
      </w:r>
      <w:r w:rsidR="00F77E3B">
        <w:rPr>
          <w:rFonts w:ascii="Arial" w:hAnsi="Arial" w:cs="Arial"/>
          <w:sz w:val="24"/>
          <w:szCs w:val="24"/>
        </w:rPr>
        <w:t xml:space="preserve"> pela retirada </w:t>
      </w:r>
      <w:r w:rsidR="00B602BD">
        <w:rPr>
          <w:rFonts w:ascii="Arial" w:hAnsi="Arial" w:cs="Arial"/>
          <w:sz w:val="24"/>
          <w:szCs w:val="24"/>
        </w:rPr>
        <w:t>da citação do anexo II no artigo 6º, considerando que os anexos não estão organizados, também definiu pela correção da pontuação no artigo 11 conforme apontado no parecer jurídico, e ainda, pela correção da numeração da sequência dos artigos que n]ao estava correta</w:t>
      </w:r>
      <w:r w:rsidR="00D928EB" w:rsidRPr="00D928EB">
        <w:rPr>
          <w:rFonts w:ascii="Arial" w:hAnsi="Arial" w:cs="Arial"/>
          <w:i/>
          <w:iCs/>
          <w:sz w:val="24"/>
          <w:szCs w:val="24"/>
        </w:rPr>
        <w:t>.</w:t>
      </w:r>
      <w:r w:rsidR="00D928EB">
        <w:rPr>
          <w:rFonts w:ascii="Arial" w:hAnsi="Arial" w:cs="Arial"/>
          <w:sz w:val="24"/>
          <w:szCs w:val="24"/>
        </w:rPr>
        <w:t xml:space="preserve"> Sendo isso a tratar,</w:t>
      </w:r>
      <w:r w:rsidR="00BD6C6E">
        <w:rPr>
          <w:rFonts w:ascii="Arial" w:hAnsi="Arial" w:cs="Arial"/>
          <w:sz w:val="24"/>
          <w:szCs w:val="24"/>
        </w:rPr>
        <w:t xml:space="preserve"> os membros das comissões entenderam </w:t>
      </w:r>
      <w:r w:rsidR="006F7F29">
        <w:rPr>
          <w:rFonts w:ascii="Arial" w:hAnsi="Arial" w:cs="Arial"/>
          <w:sz w:val="24"/>
          <w:szCs w:val="24"/>
        </w:rPr>
        <w:t>por e</w:t>
      </w:r>
      <w:r w:rsidR="00D928EB">
        <w:rPr>
          <w:rFonts w:ascii="Arial" w:hAnsi="Arial" w:cs="Arial"/>
          <w:sz w:val="24"/>
          <w:szCs w:val="24"/>
        </w:rPr>
        <w:t xml:space="preserve">ste projeto de lei estar em consonância com a legislação vigente, sendo apto para deliberação em plenário.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B602BD">
        <w:rPr>
          <w:rFonts w:ascii="Arial" w:hAnsi="Arial" w:cs="Arial"/>
          <w:sz w:val="24"/>
          <w:szCs w:val="24"/>
        </w:rPr>
        <w:t>26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602BD">
        <w:rPr>
          <w:rFonts w:ascii="Arial" w:hAnsi="Arial" w:cs="Arial"/>
          <w:sz w:val="24"/>
          <w:szCs w:val="24"/>
        </w:rPr>
        <w:t xml:space="preserve">maio </w:t>
      </w:r>
      <w:r w:rsidR="00FF128C">
        <w:rPr>
          <w:rFonts w:ascii="Arial" w:hAnsi="Arial" w:cs="Arial"/>
          <w:sz w:val="24"/>
          <w:szCs w:val="24"/>
        </w:rPr>
        <w:t>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0D126AF3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D928EB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190F1250" w14:textId="3B539AC4" w:rsidR="00601BB6" w:rsidRPr="000946B9" w:rsidRDefault="00627337" w:rsidP="00D92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Comissão III</w:t>
      </w: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97BBD"/>
    <w:rsid w:val="001B24A9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6F7F29"/>
    <w:rsid w:val="007217BE"/>
    <w:rsid w:val="00724421"/>
    <w:rsid w:val="007349EB"/>
    <w:rsid w:val="00745278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3CD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602BD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2644"/>
    <w:rsid w:val="00CB6092"/>
    <w:rsid w:val="00D036E1"/>
    <w:rsid w:val="00D06648"/>
    <w:rsid w:val="00D42E13"/>
    <w:rsid w:val="00D65451"/>
    <w:rsid w:val="00D928EB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D6187"/>
    <w:rsid w:val="00ED74BA"/>
    <w:rsid w:val="00F05787"/>
    <w:rsid w:val="00F1251E"/>
    <w:rsid w:val="00F33D33"/>
    <w:rsid w:val="00F77E3B"/>
    <w:rsid w:val="00F906E6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2025-05-26T16:40:00Z</cp:lastPrinted>
  <dcterms:created xsi:type="dcterms:W3CDTF">2025-05-26T16:40:00Z</dcterms:created>
  <dcterms:modified xsi:type="dcterms:W3CDTF">2025-05-26T16:40:00Z</dcterms:modified>
</cp:coreProperties>
</file>